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D2" w:rsidRPr="000669D2" w:rsidRDefault="000669D2" w:rsidP="000669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25252"/>
          <w:sz w:val="19"/>
          <w:szCs w:val="19"/>
          <w:lang w:eastAsia="it-IT"/>
        </w:rPr>
      </w:pPr>
      <w:bookmarkStart w:id="0" w:name="_GoBack"/>
      <w:bookmarkEnd w:id="0"/>
    </w:p>
    <w:tbl>
      <w:tblPr>
        <w:tblW w:w="190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2"/>
      </w:tblGrid>
      <w:tr w:rsidR="000669D2" w:rsidRPr="000669D2" w:rsidTr="000669D2">
        <w:trPr>
          <w:trHeight w:val="460"/>
          <w:tblCellSpacing w:w="15" w:type="dxa"/>
        </w:trPr>
        <w:tc>
          <w:tcPr>
            <w:tcW w:w="18962" w:type="dxa"/>
            <w:tcBorders>
              <w:top w:val="nil"/>
              <w:left w:val="nil"/>
              <w:bottom w:val="dotted" w:sz="6" w:space="0" w:color="00336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9D2" w:rsidRPr="000669D2" w:rsidRDefault="000669D2" w:rsidP="00066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3366"/>
                <w:lang w:eastAsia="it-IT"/>
              </w:rPr>
            </w:pPr>
            <w:r w:rsidRPr="000669D2">
              <w:rPr>
                <w:rFonts w:ascii="Verdana" w:eastAsia="Times New Roman" w:hAnsi="Verdana" w:cs="Times New Roman"/>
                <w:b/>
                <w:bCs/>
                <w:caps/>
                <w:color w:val="003366"/>
                <w:lang w:eastAsia="it-IT"/>
              </w:rPr>
              <w:t>APERTURA FORZATA CASSETTA DI SICUREZZA</w:t>
            </w:r>
          </w:p>
        </w:tc>
      </w:tr>
    </w:tbl>
    <w:p w:rsidR="00795DEE" w:rsidRDefault="00795DEE">
      <w:r w:rsidRPr="00795DEE">
        <w:rPr>
          <w:rFonts w:ascii="Verdana" w:hAnsi="Verdana"/>
          <w:b/>
          <w:color w:val="525252"/>
          <w:sz w:val="16"/>
          <w:szCs w:val="16"/>
          <w:shd w:val="clear" w:color="auto" w:fill="FFFFFF"/>
        </w:rPr>
        <w:t xml:space="preserve">Normativa   art. 1814 </w:t>
      </w:r>
      <w:proofErr w:type="spellStart"/>
      <w:r w:rsidRPr="00795DEE">
        <w:rPr>
          <w:rFonts w:ascii="Verdana" w:hAnsi="Verdana"/>
          <w:b/>
          <w:color w:val="525252"/>
          <w:sz w:val="16"/>
          <w:szCs w:val="16"/>
          <w:shd w:val="clear" w:color="auto" w:fill="FFFFFF"/>
        </w:rPr>
        <w:t>c.c</w:t>
      </w:r>
      <w:proofErr w:type="spellEnd"/>
    </w:p>
    <w:p w:rsidR="00795DEE" w:rsidRDefault="00795DEE"/>
    <w:p w:rsidR="00B34628" w:rsidRDefault="00B34628" w:rsidP="00B34628">
      <w:proofErr w:type="gramStart"/>
      <w:r>
        <w:rPr>
          <w:b/>
        </w:rPr>
        <w:t>Rivolgersi  alla</w:t>
      </w:r>
      <w:proofErr w:type="gramEnd"/>
      <w:r>
        <w:rPr>
          <w:b/>
        </w:rPr>
        <w:t xml:space="preserve"> </w:t>
      </w:r>
      <w:r w:rsidR="00017C78" w:rsidRPr="00B34628">
        <w:rPr>
          <w:b/>
        </w:rPr>
        <w:t xml:space="preserve">    </w:t>
      </w:r>
      <w:r>
        <w:t xml:space="preserve">cancelleria della volontaria giurisdizione </w:t>
      </w:r>
    </w:p>
    <w:p w:rsidR="003E0BBA" w:rsidRPr="003E0BBA" w:rsidRDefault="00017C78">
      <w:pPr>
        <w:rPr>
          <w:b/>
          <w:sz w:val="24"/>
          <w:szCs w:val="24"/>
        </w:rPr>
      </w:pPr>
      <w:r w:rsidRPr="003E0BBA">
        <w:rPr>
          <w:b/>
          <w:sz w:val="24"/>
          <w:szCs w:val="24"/>
        </w:rPr>
        <w:t xml:space="preserve">Cos’è </w:t>
      </w:r>
    </w:p>
    <w:p w:rsidR="00017C78" w:rsidRDefault="003E0BBA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  <w:r>
        <w:rPr>
          <w:rFonts w:ascii="Verdana" w:hAnsi="Verdana"/>
          <w:color w:val="525252"/>
          <w:sz w:val="16"/>
          <w:szCs w:val="16"/>
          <w:shd w:val="clear" w:color="auto" w:fill="FFFFFF"/>
        </w:rPr>
        <w:t xml:space="preserve">Quando il contratto </w:t>
      </w:r>
      <w:proofErr w:type="gramStart"/>
      <w:r>
        <w:rPr>
          <w:rFonts w:ascii="Verdana" w:hAnsi="Verdana"/>
          <w:color w:val="525252"/>
          <w:sz w:val="16"/>
          <w:szCs w:val="16"/>
          <w:shd w:val="clear" w:color="auto" w:fill="FFFFFF"/>
        </w:rPr>
        <w:t>di  abbonamento</w:t>
      </w:r>
      <w:proofErr w:type="gramEnd"/>
      <w:r>
        <w:rPr>
          <w:rFonts w:ascii="Verdana" w:hAnsi="Verdana"/>
          <w:color w:val="525252"/>
          <w:sz w:val="16"/>
          <w:szCs w:val="16"/>
          <w:shd w:val="clear" w:color="auto" w:fill="FFFFFF"/>
        </w:rPr>
        <w:t xml:space="preserve"> alle cassette di sicurezza è scaduto e l’utente non ha  restituito la chiave, la banca, dopo aver  intimato l’intestatario  “anche mediante raccomandata con avviso di ricevimento”,   e decorsi sei mesi dalla data di intimazione,  può chiedere al Tribunale l’autorizzazione  ad aprire la cassetta.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 xml:space="preserve">Allo </w:t>
      </w:r>
      <w:proofErr w:type="gramStart"/>
      <w:r>
        <w:rPr>
          <w:rFonts w:ascii="Verdana" w:hAnsi="Verdana"/>
          <w:color w:val="525252"/>
          <w:sz w:val="16"/>
          <w:szCs w:val="16"/>
          <w:shd w:val="clear" w:color="auto" w:fill="FFFFFF"/>
        </w:rPr>
        <w:t>stesso  modo</w:t>
      </w:r>
      <w:proofErr w:type="gramEnd"/>
      <w:r>
        <w:rPr>
          <w:rFonts w:ascii="Verdana" w:hAnsi="Verdana"/>
          <w:color w:val="525252"/>
          <w:sz w:val="16"/>
          <w:szCs w:val="16"/>
          <w:shd w:val="clear" w:color="auto" w:fill="FFFFFF"/>
        </w:rPr>
        <w:t>,   la    banca procede quando ritenga che le cose  immesse  nella cassetta    “possano costituire pericolo di qualsiasi     genere”  o   “possano    arrecare  un    danno,    pregiudizio   disturbo”   agli  altri   utenti   del servizio o quando il cassettista     ritardi o non paghi il canone dovuto.</w:t>
      </w:r>
    </w:p>
    <w:p w:rsidR="00CA4170" w:rsidRDefault="00CA4170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  <w:r>
        <w:rPr>
          <w:rFonts w:ascii="Verdana" w:hAnsi="Verdana"/>
          <w:color w:val="525252"/>
          <w:sz w:val="16"/>
          <w:szCs w:val="16"/>
          <w:shd w:val="clear" w:color="auto" w:fill="FFFFFF"/>
        </w:rPr>
        <w:t>Casi in cui  - secondo la dottrina - si deve procedere ad apertura forzata :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- il recesso unilaterale della banca quando il cassettista non restituisca  la chiave;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- il rifiuto da parte di un cointestatario con uso congiunto di cooperare  all’apertura  della cassetta;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- la morte dell’utente qualora non si trovi la chiave;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- l’interesse di un terzo a ritirare nella cassetta cose di sua proprietà;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- la perquisizione o il sequestro ordinati dal giudice penale;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- il fallimento dell’utente;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- l’esecuzione forzata  sul contratto della cassetta.</w:t>
      </w:r>
    </w:p>
    <w:p w:rsidR="00CA4170" w:rsidRDefault="00CA4170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CA4170" w:rsidRDefault="00CA4170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B34628" w:rsidRPr="006601EB" w:rsidRDefault="006601EB">
      <w:pPr>
        <w:pBdr>
          <w:bottom w:val="single" w:sz="6" w:space="1" w:color="auto"/>
        </w:pBdr>
        <w:rPr>
          <w:rFonts w:ascii="Verdana" w:hAnsi="Verdana"/>
          <w:b/>
          <w:color w:val="525252"/>
          <w:sz w:val="16"/>
          <w:szCs w:val="16"/>
          <w:shd w:val="clear" w:color="auto" w:fill="FFFFFF"/>
        </w:rPr>
      </w:pPr>
      <w:r w:rsidRPr="006601EB">
        <w:rPr>
          <w:rFonts w:ascii="Verdana" w:hAnsi="Verdana"/>
          <w:b/>
          <w:color w:val="525252"/>
          <w:sz w:val="16"/>
          <w:szCs w:val="16"/>
          <w:shd w:val="clear" w:color="auto" w:fill="FFFFFF"/>
        </w:rPr>
        <w:t xml:space="preserve">Come si </w:t>
      </w:r>
      <w:r w:rsidR="007728BC">
        <w:rPr>
          <w:rFonts w:ascii="Verdana" w:hAnsi="Verdana"/>
          <w:b/>
          <w:color w:val="525252"/>
          <w:sz w:val="16"/>
          <w:szCs w:val="16"/>
          <w:shd w:val="clear" w:color="auto" w:fill="FFFFFF"/>
        </w:rPr>
        <w:t xml:space="preserve">propone </w:t>
      </w:r>
      <w:r w:rsidRPr="006601EB">
        <w:rPr>
          <w:rFonts w:ascii="Verdana" w:hAnsi="Verdana"/>
          <w:b/>
          <w:color w:val="525252"/>
          <w:sz w:val="16"/>
          <w:szCs w:val="16"/>
          <w:shd w:val="clear" w:color="auto" w:fill="FFFFFF"/>
        </w:rPr>
        <w:t xml:space="preserve"> </w:t>
      </w:r>
    </w:p>
    <w:p w:rsidR="00B34628" w:rsidRDefault="000166D2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  <w:r>
        <w:rPr>
          <w:rFonts w:ascii="Verdana" w:hAnsi="Verdana"/>
          <w:color w:val="525252"/>
          <w:sz w:val="16"/>
          <w:szCs w:val="16"/>
          <w:shd w:val="clear" w:color="auto" w:fill="FFFFFF"/>
        </w:rPr>
        <w:t>Con ricorso al Presidente del Tribunale.   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Occorre allegare: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 xml:space="preserve">-     copia del contratto di locazione della cassetta </w:t>
      </w:r>
      <w:proofErr w:type="gramStart"/>
      <w:r>
        <w:rPr>
          <w:rFonts w:ascii="Verdana" w:hAnsi="Verdana"/>
          <w:color w:val="525252"/>
          <w:sz w:val="16"/>
          <w:szCs w:val="16"/>
          <w:shd w:val="clear" w:color="auto" w:fill="FFFFFF"/>
        </w:rPr>
        <w:t>di  sicurezza</w:t>
      </w:r>
      <w:proofErr w:type="gramEnd"/>
      <w:r>
        <w:rPr>
          <w:rFonts w:ascii="Verdana" w:hAnsi="Verdana"/>
          <w:color w:val="525252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-     prova della comunicazione all’intestatario.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Il Tribunale autorizza l’apertura forzata e nomina il notaio che vi deve  assistere e redigere l’inventario.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 xml:space="preserve">Il Tribunale può     autorizzare     la Banca     ricorrente a trattenere  l’eventuale  somma  rinvenuta   fino  alla   concorrenza del  proprio     credito e a  depositare   il residuo su libretto di risparmio fruttifero     intestato al  cassettista. Può </w:t>
      </w:r>
      <w:proofErr w:type="gramStart"/>
      <w:r>
        <w:rPr>
          <w:rFonts w:ascii="Verdana" w:hAnsi="Verdana"/>
          <w:color w:val="525252"/>
          <w:sz w:val="16"/>
          <w:szCs w:val="16"/>
          <w:shd w:val="clear" w:color="auto" w:fill="FFFFFF"/>
        </w:rPr>
        <w:t>disporre  che</w:t>
      </w:r>
      <w:proofErr w:type="gramEnd"/>
      <w:r>
        <w:rPr>
          <w:rFonts w:ascii="Verdana" w:hAnsi="Verdana"/>
          <w:color w:val="525252"/>
          <w:sz w:val="16"/>
          <w:szCs w:val="16"/>
          <w:shd w:val="clear" w:color="auto" w:fill="FFFFFF"/>
        </w:rPr>
        <w:t xml:space="preserve"> gli eventuali altri  oggetti  rinvenuti vengano   sigillati e   conservati presso la Banca stessa in  deposito in custodia intestato al predetto cassettista, pure venduti -     anche  in parte - per soddisfare i  crediti della Banca.</w:t>
      </w:r>
    </w:p>
    <w:p w:rsidR="00B34628" w:rsidRPr="004D2E26" w:rsidRDefault="004D2E26">
      <w:pPr>
        <w:pBdr>
          <w:bottom w:val="single" w:sz="6" w:space="1" w:color="auto"/>
        </w:pBdr>
        <w:rPr>
          <w:rFonts w:ascii="Verdana" w:hAnsi="Verdana"/>
          <w:b/>
          <w:color w:val="525252"/>
          <w:sz w:val="16"/>
          <w:szCs w:val="16"/>
          <w:shd w:val="clear" w:color="auto" w:fill="FFFFFF"/>
        </w:rPr>
      </w:pPr>
      <w:r w:rsidRPr="004D2E26">
        <w:rPr>
          <w:rFonts w:ascii="Verdana" w:hAnsi="Verdana"/>
          <w:b/>
          <w:color w:val="525252"/>
          <w:sz w:val="16"/>
          <w:szCs w:val="16"/>
          <w:shd w:val="clear" w:color="auto" w:fill="FFFFFF"/>
        </w:rPr>
        <w:t xml:space="preserve">Costi </w:t>
      </w:r>
    </w:p>
    <w:p w:rsidR="00B34628" w:rsidRDefault="004D2E26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  <w:r>
        <w:rPr>
          <w:rFonts w:ascii="Verdana" w:hAnsi="Verdana"/>
          <w:color w:val="525252"/>
          <w:sz w:val="16"/>
          <w:szCs w:val="16"/>
          <w:shd w:val="clear" w:color="auto" w:fill="FFFFFF"/>
        </w:rPr>
        <w:t>Contributo unificato euro 98,00</w:t>
      </w:r>
      <w:r>
        <w:rPr>
          <w:rFonts w:ascii="Verdana" w:hAnsi="Verdana"/>
          <w:color w:val="525252"/>
          <w:sz w:val="16"/>
          <w:szCs w:val="16"/>
        </w:rPr>
        <w:br/>
      </w:r>
      <w:r>
        <w:rPr>
          <w:rFonts w:ascii="Verdana" w:hAnsi="Verdana"/>
          <w:color w:val="525252"/>
          <w:sz w:val="16"/>
          <w:szCs w:val="16"/>
          <w:shd w:val="clear" w:color="auto" w:fill="FFFFFF"/>
        </w:rPr>
        <w:t>1 marca da 27 euro diritti forfetizzati notifica</w:t>
      </w:r>
    </w:p>
    <w:p w:rsidR="00B34628" w:rsidRDefault="00B34628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B34628" w:rsidRDefault="00B34628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17449" w:rsidRPr="00CC0937" w:rsidRDefault="00617449">
      <w:pPr>
        <w:pBdr>
          <w:bottom w:val="single" w:sz="6" w:space="1" w:color="auto"/>
        </w:pBdr>
        <w:rPr>
          <w:rFonts w:ascii="Verdana" w:hAnsi="Verdana"/>
          <w:b/>
          <w:color w:val="525252"/>
          <w:sz w:val="16"/>
          <w:szCs w:val="16"/>
          <w:shd w:val="clear" w:color="auto" w:fill="FFFFFF"/>
        </w:rPr>
      </w:pPr>
      <w:r w:rsidRPr="00CC0937">
        <w:rPr>
          <w:rFonts w:ascii="Verdana" w:hAnsi="Verdana"/>
          <w:b/>
          <w:color w:val="525252"/>
          <w:sz w:val="16"/>
          <w:szCs w:val="16"/>
          <w:shd w:val="clear" w:color="auto" w:fill="FFFFFF"/>
        </w:rPr>
        <w:t xml:space="preserve">N.B IN caso di morte dell’intestatario o del cointestatario </w:t>
      </w:r>
    </w:p>
    <w:p w:rsidR="00617449" w:rsidRDefault="00617449" w:rsidP="00617449">
      <w:pPr>
        <w:pStyle w:val="NormaleWeb"/>
        <w:shd w:val="clear" w:color="auto" w:fill="FFFFFF"/>
        <w:spacing w:before="96" w:beforeAutospacing="0" w:after="192" w:afterAutospacing="0"/>
        <w:jc w:val="both"/>
        <w:rPr>
          <w:rFonts w:ascii="Verdana" w:hAnsi="Verdana"/>
          <w:color w:val="525252"/>
          <w:sz w:val="16"/>
          <w:szCs w:val="16"/>
        </w:rPr>
      </w:pPr>
      <w:proofErr w:type="gramStart"/>
      <w:r>
        <w:rPr>
          <w:rFonts w:ascii="Verdana" w:hAnsi="Verdana"/>
          <w:color w:val="525252"/>
          <w:sz w:val="16"/>
          <w:szCs w:val="16"/>
        </w:rPr>
        <w:t>La  normativa</w:t>
      </w:r>
      <w:proofErr w:type="gramEnd"/>
      <w:r>
        <w:rPr>
          <w:rFonts w:ascii="Verdana" w:hAnsi="Verdana"/>
          <w:color w:val="525252"/>
          <w:sz w:val="16"/>
          <w:szCs w:val="16"/>
        </w:rPr>
        <w:t xml:space="preserve"> vigente prevede la competenza dell’Agenzia delle  Entrate o del notaio.</w:t>
      </w:r>
    </w:p>
    <w:p w:rsidR="00617449" w:rsidRDefault="00617449" w:rsidP="002434E6">
      <w:pPr>
        <w:pStyle w:val="NormaleWeb"/>
        <w:shd w:val="clear" w:color="auto" w:fill="FFFFFF"/>
        <w:spacing w:before="96" w:beforeAutospacing="0" w:after="192" w:afterAutospacing="0"/>
        <w:jc w:val="both"/>
        <w:rPr>
          <w:rFonts w:ascii="Verdana" w:hAnsi="Verdana"/>
          <w:color w:val="525252"/>
          <w:sz w:val="16"/>
          <w:szCs w:val="16"/>
        </w:rPr>
      </w:pPr>
      <w:r>
        <w:rPr>
          <w:rFonts w:ascii="Verdana" w:hAnsi="Verdana"/>
          <w:color w:val="525252"/>
          <w:sz w:val="16"/>
          <w:szCs w:val="16"/>
        </w:rPr>
        <w:t>Nello specifico    l’Ufficio delle Entrate competente è incardinato nella Direzione Regionale di via Fiume 2.</w:t>
      </w:r>
      <w:r>
        <w:rPr>
          <w:rFonts w:ascii="Verdana" w:hAnsi="Verdana"/>
          <w:color w:val="525252"/>
          <w:sz w:val="16"/>
          <w:szCs w:val="16"/>
        </w:rPr>
        <w:br/>
        <w:t xml:space="preserve">La procedura è la </w:t>
      </w:r>
      <w:proofErr w:type="gramStart"/>
      <w:r>
        <w:rPr>
          <w:rFonts w:ascii="Verdana" w:hAnsi="Verdana"/>
          <w:color w:val="525252"/>
          <w:sz w:val="16"/>
          <w:szCs w:val="16"/>
        </w:rPr>
        <w:t>seguente:  si</w:t>
      </w:r>
      <w:proofErr w:type="gramEnd"/>
      <w:r>
        <w:rPr>
          <w:rFonts w:ascii="Verdana" w:hAnsi="Verdana"/>
          <w:color w:val="525252"/>
          <w:sz w:val="16"/>
          <w:szCs w:val="16"/>
        </w:rPr>
        <w:t>  presenta la domanda  attraverso gli sportelli  degli Uffici Territoriali (Genova 1- Genova 2 ) che hanno la modulistica ad hoc; la domanda viene protocollata  e inoltrata all’ufficio di via Fiume; entro 15/20 gg.  lo stesso contatta l’utente per concordare un appuntamento;  all’apertura devono essere presenti tutti gli eredi;  l’utente deve comunicare l’appuntamento all’istituto di credito e successivamente l’Istituto deve dare conferma all’Agenzia delle Entrate dell’ appuntamento stesso.</w:t>
      </w:r>
      <w:r>
        <w:rPr>
          <w:rFonts w:ascii="Verdana" w:hAnsi="Verdana"/>
          <w:color w:val="525252"/>
          <w:sz w:val="16"/>
          <w:szCs w:val="16"/>
        </w:rPr>
        <w:br/>
        <w:t xml:space="preserve">Nella data concordata,  alla presenza di 2 funzionari dell’Agenzia delle Entrate,  viene redatto il verbale;  l’utente  in </w:t>
      </w:r>
      <w:r>
        <w:rPr>
          <w:rFonts w:ascii="Verdana" w:hAnsi="Verdana"/>
          <w:color w:val="525252"/>
          <w:sz w:val="16"/>
          <w:szCs w:val="16"/>
        </w:rPr>
        <w:lastRenderedPageBreak/>
        <w:t>quel momento pagherà  attraverso un F24  l’importo di euro 26,50  direttamente presso la Banca, per avere copia del verbale.</w:t>
      </w:r>
      <w:r>
        <w:rPr>
          <w:rFonts w:ascii="Verdana" w:hAnsi="Verdana"/>
          <w:color w:val="525252"/>
          <w:sz w:val="16"/>
          <w:szCs w:val="16"/>
        </w:rPr>
        <w:br/>
        <w:t>Se la  persona sa che nella cassetta sono contenuti oro o preziosi, deve procurare  la presenza di un esperto gemmologo  o orafo (consultando l’Albo dei Periti  presso la Presidenza del Tribunale ) ; la relativa spesa è a carico dell’utente.</w:t>
      </w:r>
    </w:p>
    <w:p w:rsidR="00617449" w:rsidRDefault="00617449" w:rsidP="002434E6">
      <w:pPr>
        <w:pStyle w:val="NormaleWeb"/>
        <w:shd w:val="clear" w:color="auto" w:fill="FFFFFF"/>
        <w:spacing w:before="96" w:beforeAutospacing="0" w:after="192" w:afterAutospacing="0"/>
        <w:rPr>
          <w:rFonts w:ascii="Verdana" w:hAnsi="Verdana"/>
          <w:color w:val="525252"/>
          <w:sz w:val="16"/>
          <w:szCs w:val="16"/>
        </w:rPr>
      </w:pPr>
      <w:r>
        <w:rPr>
          <w:rFonts w:ascii="Verdana" w:hAnsi="Verdana"/>
          <w:color w:val="525252"/>
          <w:sz w:val="16"/>
          <w:szCs w:val="16"/>
        </w:rPr>
        <w:t>NORMATIVA</w:t>
      </w:r>
      <w:r>
        <w:rPr>
          <w:rFonts w:ascii="Verdana" w:hAnsi="Verdana"/>
          <w:color w:val="525252"/>
          <w:sz w:val="16"/>
          <w:szCs w:val="16"/>
        </w:rPr>
        <w:br/>
        <w:t>D.lgs. 31 ottobre 1990, n. 346 – Testo Unico Imposta sulle Successioni e Donazioni</w:t>
      </w:r>
      <w:r>
        <w:rPr>
          <w:rFonts w:ascii="Verdana" w:hAnsi="Verdana"/>
          <w:color w:val="525252"/>
          <w:sz w:val="16"/>
          <w:szCs w:val="16"/>
        </w:rPr>
        <w:br/>
        <w:t>Art. 48 - Divieti e obblighi a carico di terzi.</w:t>
      </w:r>
      <w:r>
        <w:rPr>
          <w:rFonts w:ascii="Verdana" w:hAnsi="Verdana"/>
          <w:color w:val="525252"/>
          <w:sz w:val="16"/>
          <w:szCs w:val="16"/>
        </w:rPr>
        <w:br/>
        <w:t>(…)</w:t>
      </w:r>
      <w:r>
        <w:rPr>
          <w:rFonts w:ascii="Verdana" w:hAnsi="Verdana"/>
          <w:color w:val="525252"/>
          <w:sz w:val="16"/>
          <w:szCs w:val="16"/>
        </w:rPr>
        <w:br/>
        <w:t>6. Le cassette di sicurezza non possono essere aperte dai concessionari, prima che gli stessi abbiano apposto la loro firma, con l'indicazione della data e dell'ora dell'apertura, su apposito registro tenuto dai concedenti in forma cronologica e senza fogli o spazi bianchi e abbiano dichiarato per iscritto sul registro stesso che le eventuali altre persone aventi facoltà di aprirle sono tuttora in vita. Le cassette di sicurezza, dopo la morte del concessionario o di uno dei concessionari, possono essere aperte solo alla presenza di un funzionario dell'Amministrazione finanziaria o di un notaio, che redige l'inventario del contenuto, previa comunicazione da parte del concedente all'ufficio del registro, nella cui circoscrizione deve essere redatto l'inventario, del giorno e dell'ora dell'apertura.</w:t>
      </w:r>
      <w:r>
        <w:rPr>
          <w:rFonts w:ascii="Verdana" w:hAnsi="Verdana"/>
          <w:color w:val="525252"/>
          <w:sz w:val="16"/>
          <w:szCs w:val="16"/>
        </w:rPr>
        <w:br/>
        <w:t>7. Le disposizioni del comma 6 si applicano anche nel caso di armadi, casseforti, borse, valige, plichi e pacchi chiusi depositati presso banche o altri soggetti che esercitano tale servizio.</w:t>
      </w:r>
    </w:p>
    <w:p w:rsidR="00617449" w:rsidRDefault="00617449" w:rsidP="00617449">
      <w:pPr>
        <w:pStyle w:val="NormaleWeb"/>
        <w:shd w:val="clear" w:color="auto" w:fill="FFFFFF"/>
        <w:spacing w:before="96" w:beforeAutospacing="0" w:after="192" w:afterAutospacing="0"/>
        <w:jc w:val="both"/>
        <w:rPr>
          <w:rFonts w:ascii="Verdana" w:hAnsi="Verdana"/>
          <w:color w:val="525252"/>
          <w:sz w:val="16"/>
          <w:szCs w:val="16"/>
        </w:rPr>
      </w:pPr>
      <w:r>
        <w:rPr>
          <w:rFonts w:ascii="Verdana" w:hAnsi="Verdana"/>
          <w:color w:val="525252"/>
          <w:sz w:val="16"/>
          <w:szCs w:val="16"/>
        </w:rPr>
        <w:t> </w:t>
      </w:r>
    </w:p>
    <w:p w:rsidR="00617449" w:rsidRDefault="00617449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17449" w:rsidRDefault="00617449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B34628" w:rsidRDefault="00B34628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B34628" w:rsidRDefault="00B34628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B34628" w:rsidRDefault="00B34628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p w:rsidR="006601EB" w:rsidRDefault="006601EB">
      <w:pPr>
        <w:pBdr>
          <w:bottom w:val="single" w:sz="6" w:space="1" w:color="auto"/>
        </w:pBdr>
        <w:rPr>
          <w:rFonts w:ascii="Verdana" w:hAnsi="Verdana"/>
          <w:color w:val="525252"/>
          <w:sz w:val="16"/>
          <w:szCs w:val="16"/>
          <w:shd w:val="clear" w:color="auto" w:fill="FFFFFF"/>
        </w:rPr>
      </w:pPr>
    </w:p>
    <w:sectPr w:rsidR="00660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E3856"/>
    <w:multiLevelType w:val="multilevel"/>
    <w:tmpl w:val="D11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70B"/>
    <w:rsid w:val="000166D2"/>
    <w:rsid w:val="00017C78"/>
    <w:rsid w:val="000669D2"/>
    <w:rsid w:val="000C2C1A"/>
    <w:rsid w:val="002434E6"/>
    <w:rsid w:val="002E5658"/>
    <w:rsid w:val="0030570B"/>
    <w:rsid w:val="0033325D"/>
    <w:rsid w:val="003E0BBA"/>
    <w:rsid w:val="00433199"/>
    <w:rsid w:val="004D2E26"/>
    <w:rsid w:val="0054098A"/>
    <w:rsid w:val="00617449"/>
    <w:rsid w:val="006601EB"/>
    <w:rsid w:val="007728BC"/>
    <w:rsid w:val="00795DEE"/>
    <w:rsid w:val="009B7B66"/>
    <w:rsid w:val="00A362E8"/>
    <w:rsid w:val="00B34628"/>
    <w:rsid w:val="00B40D76"/>
    <w:rsid w:val="00CA0656"/>
    <w:rsid w:val="00CA4170"/>
    <w:rsid w:val="00C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5368-61ED-44E2-8F70-2661DB87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D7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336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Filippo Pasqualetto</cp:lastModifiedBy>
  <cp:revision>2</cp:revision>
  <dcterms:created xsi:type="dcterms:W3CDTF">2022-01-12T13:49:00Z</dcterms:created>
  <dcterms:modified xsi:type="dcterms:W3CDTF">2022-01-12T13:49:00Z</dcterms:modified>
</cp:coreProperties>
</file>